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DC6235" w14:textId="77777777" w:rsidR="00F01230" w:rsidRPr="00FB6B24" w:rsidRDefault="00F01230" w:rsidP="00F01230">
      <w:pPr>
        <w:rPr>
          <w:rFonts w:ascii="Gill Sans MT" w:hAnsi="Gill Sans MT" w:cs="Gill Sans"/>
        </w:rPr>
      </w:pPr>
      <w:bookmarkStart w:id="0" w:name="_GoBack"/>
      <w:bookmarkEnd w:id="0"/>
      <w:r w:rsidRPr="00FB6B24">
        <w:rPr>
          <w:rFonts w:ascii="Gill Sans MT" w:hAnsi="Gill Sans MT" w:cs="Gill Sans"/>
        </w:rPr>
        <w:t>May ___, 2019</w:t>
      </w:r>
    </w:p>
    <w:p w14:paraId="22B09460" w14:textId="77777777" w:rsidR="00F01230" w:rsidRPr="00F01230" w:rsidRDefault="00F01230" w:rsidP="00F01230">
      <w:pPr>
        <w:rPr>
          <w:rFonts w:ascii="Gill Sans MT" w:hAnsi="Gill Sans MT" w:cs="Gill Sans"/>
          <w:sz w:val="22"/>
          <w:szCs w:val="22"/>
        </w:rPr>
      </w:pPr>
    </w:p>
    <w:p w14:paraId="6B38E9EF" w14:textId="77777777" w:rsidR="00F01230" w:rsidRPr="00F01230" w:rsidRDefault="00A857B3" w:rsidP="00F01230">
      <w:pPr>
        <w:ind w:right="360"/>
        <w:rPr>
          <w:rFonts w:ascii="Gill Sans MT" w:eastAsia="Times New Roman" w:hAnsi="Gill Sans MT" w:cs="Times New Roman"/>
          <w:b/>
          <w:color w:val="FF0000"/>
          <w:sz w:val="40"/>
          <w:szCs w:val="40"/>
        </w:rPr>
      </w:pPr>
      <w:r>
        <w:rPr>
          <w:rFonts w:ascii="Gill Sans MT" w:eastAsia="Times New Roman" w:hAnsi="Gill Sans MT" w:cs="Times New Roman"/>
          <w:b/>
          <w:color w:val="FF0000"/>
          <w:sz w:val="40"/>
          <w:szCs w:val="40"/>
        </w:rPr>
        <w:t xml:space="preserve">ASSEMBLY </w:t>
      </w:r>
      <w:r w:rsidR="00F01230" w:rsidRPr="00F01230">
        <w:rPr>
          <w:rFonts w:ascii="Gill Sans MT" w:eastAsia="Times New Roman" w:hAnsi="Gill Sans MT" w:cs="Times New Roman"/>
          <w:b/>
          <w:color w:val="FF0000"/>
          <w:sz w:val="40"/>
          <w:szCs w:val="40"/>
        </w:rPr>
        <w:t>FLOOR ALERT</w:t>
      </w:r>
    </w:p>
    <w:p w14:paraId="01736579" w14:textId="77777777" w:rsidR="00F01230" w:rsidRPr="00F01230" w:rsidRDefault="00A857B3" w:rsidP="00F01230">
      <w:pPr>
        <w:ind w:right="360"/>
        <w:rPr>
          <w:rFonts w:ascii="Gill Sans MT" w:eastAsia="Times New Roman" w:hAnsi="Gill Sans MT" w:cs="Times New Roman"/>
          <w:b/>
          <w:color w:val="FF0000"/>
          <w:sz w:val="40"/>
          <w:szCs w:val="40"/>
        </w:rPr>
      </w:pPr>
      <w:r>
        <w:rPr>
          <w:rFonts w:ascii="Gill Sans MT" w:eastAsia="Times New Roman" w:hAnsi="Gill Sans MT" w:cs="Times New Roman"/>
          <w:b/>
          <w:bCs/>
          <w:color w:val="FF0000"/>
          <w:sz w:val="40"/>
          <w:szCs w:val="40"/>
        </w:rPr>
        <w:t xml:space="preserve">AB </w:t>
      </w:r>
      <w:r w:rsidR="006F7DC7">
        <w:rPr>
          <w:rFonts w:ascii="Gill Sans MT" w:eastAsia="Times New Roman" w:hAnsi="Gill Sans MT" w:cs="Times New Roman"/>
          <w:b/>
          <w:bCs/>
          <w:color w:val="FF0000"/>
          <w:sz w:val="40"/>
          <w:szCs w:val="40"/>
        </w:rPr>
        <w:t>1611 (CHIU)</w:t>
      </w:r>
      <w:r w:rsidR="00F0726F">
        <w:rPr>
          <w:rFonts w:ascii="Gill Sans MT" w:eastAsia="Times New Roman" w:hAnsi="Gill Sans MT" w:cs="Times New Roman"/>
          <w:b/>
          <w:bCs/>
          <w:color w:val="FF0000"/>
          <w:sz w:val="40"/>
          <w:szCs w:val="40"/>
        </w:rPr>
        <w:t xml:space="preserve"> </w:t>
      </w:r>
      <w:r w:rsidR="00F01230" w:rsidRPr="00F01230">
        <w:rPr>
          <w:rFonts w:ascii="Gill Sans MT" w:eastAsia="Times New Roman" w:hAnsi="Gill Sans MT" w:cs="Times New Roman"/>
          <w:b/>
          <w:bCs/>
          <w:color w:val="FF0000"/>
          <w:sz w:val="40"/>
          <w:szCs w:val="40"/>
        </w:rPr>
        <w:t>–</w:t>
      </w:r>
      <w:r w:rsidR="00EA3A84">
        <w:rPr>
          <w:rFonts w:ascii="Gill Sans MT" w:eastAsia="Times New Roman" w:hAnsi="Gill Sans MT" w:cs="Times New Roman"/>
          <w:b/>
          <w:bCs/>
          <w:color w:val="FF0000"/>
          <w:sz w:val="40"/>
          <w:szCs w:val="40"/>
        </w:rPr>
        <w:t xml:space="preserve"> </w:t>
      </w:r>
      <w:r w:rsidR="00F01230" w:rsidRPr="00F01230">
        <w:rPr>
          <w:rFonts w:ascii="Gill Sans MT" w:eastAsia="Times New Roman" w:hAnsi="Gill Sans MT" w:cs="Times New Roman"/>
          <w:b/>
          <w:bCs/>
          <w:color w:val="FF0000"/>
          <w:sz w:val="40"/>
          <w:szCs w:val="40"/>
        </w:rPr>
        <w:t>SUPPORT</w:t>
      </w:r>
    </w:p>
    <w:p w14:paraId="430878F2" w14:textId="77777777" w:rsidR="00F01230" w:rsidRPr="00F01230" w:rsidRDefault="00F01230" w:rsidP="00F01230">
      <w:pPr>
        <w:ind w:right="360"/>
        <w:rPr>
          <w:rFonts w:ascii="Gill Sans MT" w:eastAsia="Times New Roman" w:hAnsi="Gill Sans MT" w:cs="Times New Roman"/>
          <w:bCs/>
          <w:color w:val="000000"/>
          <w:sz w:val="22"/>
          <w:szCs w:val="22"/>
        </w:rPr>
      </w:pPr>
    </w:p>
    <w:p w14:paraId="3714B947" w14:textId="77777777" w:rsidR="00F01230" w:rsidRPr="00FB6B24" w:rsidRDefault="00F01230" w:rsidP="00F01230">
      <w:pPr>
        <w:ind w:right="360"/>
        <w:rPr>
          <w:rFonts w:ascii="Gill Sans MT" w:eastAsia="Times New Roman" w:hAnsi="Gill Sans MT" w:cs="Times New Roman"/>
          <w:bCs/>
          <w:color w:val="000000"/>
        </w:rPr>
      </w:pPr>
      <w:r w:rsidRPr="00FB6B24">
        <w:rPr>
          <w:rFonts w:ascii="Gill Sans MT" w:eastAsia="Times New Roman" w:hAnsi="Gill Sans MT" w:cs="Times New Roman"/>
          <w:bCs/>
          <w:color w:val="000000"/>
        </w:rPr>
        <w:t>As amended</w:t>
      </w:r>
      <w:r w:rsidR="00A857B3" w:rsidRPr="00FB6B24">
        <w:rPr>
          <w:rFonts w:ascii="Gill Sans MT" w:eastAsia="Times New Roman" w:hAnsi="Gill Sans MT" w:cs="Times New Roman"/>
          <w:bCs/>
          <w:color w:val="000000"/>
        </w:rPr>
        <w:t xml:space="preserve"> </w:t>
      </w:r>
      <w:r w:rsidR="00F92729" w:rsidRPr="00FB6B24">
        <w:rPr>
          <w:rFonts w:ascii="Gill Sans MT" w:eastAsia="Times New Roman" w:hAnsi="Gill Sans MT" w:cs="Times New Roman"/>
          <w:bCs/>
          <w:color w:val="000000"/>
        </w:rPr>
        <w:t>May 16</w:t>
      </w:r>
      <w:r w:rsidR="00CD0A34" w:rsidRPr="00FB6B24">
        <w:rPr>
          <w:rFonts w:ascii="Gill Sans MT" w:eastAsia="Times New Roman" w:hAnsi="Gill Sans MT" w:cs="Times New Roman"/>
          <w:bCs/>
          <w:color w:val="000000"/>
        </w:rPr>
        <w:t xml:space="preserve">, </w:t>
      </w:r>
      <w:r w:rsidRPr="00FB6B24">
        <w:rPr>
          <w:rFonts w:ascii="Gill Sans MT" w:eastAsia="Times New Roman" w:hAnsi="Gill Sans MT" w:cs="Times New Roman"/>
          <w:bCs/>
          <w:color w:val="000000"/>
        </w:rPr>
        <w:t>2019</w:t>
      </w:r>
    </w:p>
    <w:p w14:paraId="3114A42C" w14:textId="77777777" w:rsidR="00327F1F" w:rsidRPr="00FB6B24" w:rsidRDefault="00327F1F"/>
    <w:p w14:paraId="7FEAFB7B" w14:textId="77777777" w:rsidR="00FB6B24" w:rsidRPr="00FB6B24" w:rsidRDefault="00304CDB" w:rsidP="00FB6B24">
      <w:pPr>
        <w:autoSpaceDE w:val="0"/>
        <w:autoSpaceDN w:val="0"/>
        <w:adjustRightInd w:val="0"/>
        <w:jc w:val="both"/>
        <w:rPr>
          <w:rFonts w:cstheme="minorHAnsi"/>
        </w:rPr>
      </w:pPr>
      <w:r w:rsidRPr="00FB6B24">
        <w:rPr>
          <w:rFonts w:ascii="Gill Sans MT" w:hAnsi="Gill Sans MT"/>
        </w:rPr>
        <w:t xml:space="preserve">We </w:t>
      </w:r>
      <w:r w:rsidR="006F7DC7" w:rsidRPr="00FB6B24">
        <w:rPr>
          <w:rFonts w:ascii="Gill Sans MT" w:hAnsi="Gill Sans MT"/>
        </w:rPr>
        <w:t xml:space="preserve">strongly </w:t>
      </w:r>
      <w:r w:rsidRPr="00FB6B24">
        <w:rPr>
          <w:rFonts w:ascii="Gill Sans MT" w:hAnsi="Gill Sans MT"/>
        </w:rPr>
        <w:t xml:space="preserve">support AB </w:t>
      </w:r>
      <w:r w:rsidR="006F7DC7" w:rsidRPr="00FB6B24">
        <w:rPr>
          <w:rFonts w:ascii="Gill Sans MT" w:hAnsi="Gill Sans MT"/>
        </w:rPr>
        <w:t>1611 (Chiu)</w:t>
      </w:r>
      <w:r w:rsidR="00FB6B24">
        <w:rPr>
          <w:rFonts w:ascii="Gill Sans MT" w:hAnsi="Gill Sans MT"/>
        </w:rPr>
        <w:t>,</w:t>
      </w:r>
      <w:r w:rsidR="00CC21CD" w:rsidRPr="00FB6B24">
        <w:rPr>
          <w:rFonts w:ascii="Gill Sans MT" w:hAnsi="Gill Sans MT"/>
        </w:rPr>
        <w:t xml:space="preserve"> which as amended May 16</w:t>
      </w:r>
      <w:r w:rsidR="006F7DC7" w:rsidRPr="00FB6B24">
        <w:rPr>
          <w:rFonts w:ascii="Gill Sans MT" w:hAnsi="Gill Sans MT"/>
        </w:rPr>
        <w:t xml:space="preserve">, would </w:t>
      </w:r>
      <w:r w:rsidR="006F7DC7" w:rsidRPr="00FB6B24">
        <w:rPr>
          <w:rFonts w:ascii="Gill Sans MT" w:eastAsia="Times New Roman" w:hAnsi="Gill Sans MT" w:cs="Open Sans"/>
          <w:color w:val="000000"/>
        </w:rPr>
        <w:t>protect patients from surprise bills for emergency room and post-stabilization care at out-of-network hospitals. This bill would ensure that patients only owe the same copay or deductible they would pay for in-network emerge</w:t>
      </w:r>
      <w:r w:rsidR="00FB6B24" w:rsidRPr="00FB6B24">
        <w:rPr>
          <w:rFonts w:ascii="Gill Sans MT" w:eastAsia="Times New Roman" w:hAnsi="Gill Sans MT" w:cs="Open Sans"/>
          <w:color w:val="000000"/>
        </w:rPr>
        <w:t xml:space="preserve">ncy care provided by hospitals, </w:t>
      </w:r>
      <w:r w:rsidR="00FB6B24" w:rsidRPr="00FB6B24">
        <w:rPr>
          <w:rFonts w:cstheme="minorHAnsi"/>
        </w:rPr>
        <w:t xml:space="preserve">regardless of whether the emergency room is in- or out-of-network for their insurer. </w:t>
      </w:r>
    </w:p>
    <w:p w14:paraId="74BE932B" w14:textId="77777777" w:rsidR="00FB6B24" w:rsidRPr="00FB6B24" w:rsidRDefault="00FB6B24" w:rsidP="006F7DC7">
      <w:pPr>
        <w:tabs>
          <w:tab w:val="left" w:pos="5780"/>
        </w:tabs>
        <w:jc w:val="both"/>
        <w:rPr>
          <w:rFonts w:ascii="Gill Sans MT" w:eastAsiaTheme="majorEastAsia" w:hAnsi="Gill Sans MT" w:cstheme="majorBidi"/>
          <w:b/>
        </w:rPr>
      </w:pPr>
    </w:p>
    <w:p w14:paraId="4E20D1A1" w14:textId="77777777" w:rsidR="006F7DC7" w:rsidRPr="00FB6B24" w:rsidRDefault="006F7DC7" w:rsidP="006F7DC7">
      <w:pPr>
        <w:tabs>
          <w:tab w:val="left" w:pos="5780"/>
        </w:tabs>
        <w:jc w:val="both"/>
        <w:rPr>
          <w:rFonts w:ascii="Gill Sans MT" w:eastAsiaTheme="majorEastAsia" w:hAnsi="Gill Sans MT" w:cstheme="majorBidi"/>
          <w:b/>
        </w:rPr>
      </w:pPr>
      <w:r w:rsidRPr="00FB6B24">
        <w:rPr>
          <w:rFonts w:ascii="Gill Sans MT" w:eastAsiaTheme="majorEastAsia" w:hAnsi="Gill Sans MT" w:cstheme="majorBidi"/>
          <w:b/>
        </w:rPr>
        <w:t>AB 1611 would do the following:</w:t>
      </w:r>
    </w:p>
    <w:p w14:paraId="5C16F4D0" w14:textId="76A14266" w:rsidR="006F7DC7" w:rsidRPr="00FB6B24" w:rsidRDefault="006F7DC7" w:rsidP="00FB6B24">
      <w:pPr>
        <w:pStyle w:val="ListParagraph"/>
        <w:numPr>
          <w:ilvl w:val="0"/>
          <w:numId w:val="2"/>
        </w:numPr>
        <w:tabs>
          <w:tab w:val="left" w:pos="5780"/>
        </w:tabs>
        <w:spacing w:line="240" w:lineRule="auto"/>
        <w:ind w:left="450"/>
        <w:jc w:val="both"/>
        <w:rPr>
          <w:rFonts w:ascii="Gill Sans MT" w:eastAsiaTheme="majorEastAsia" w:hAnsi="Gill Sans MT" w:cstheme="majorBidi"/>
          <w:sz w:val="24"/>
          <w:szCs w:val="24"/>
        </w:rPr>
      </w:pPr>
      <w:r w:rsidRPr="00FB6B24">
        <w:rPr>
          <w:rFonts w:ascii="Gill Sans MT" w:eastAsiaTheme="majorEastAsia" w:hAnsi="Gill Sans MT" w:cstheme="majorBidi"/>
          <w:sz w:val="24"/>
          <w:szCs w:val="24"/>
        </w:rPr>
        <w:t>Protect patients by making sure they owe only their in-network cost sharing for emergency care, regardless of whether the emergency room is in-network or out-of-network for their insurer;</w:t>
      </w:r>
    </w:p>
    <w:p w14:paraId="77BABBE8" w14:textId="3573BCFA" w:rsidR="006F7DC7" w:rsidRPr="00FB6B24" w:rsidRDefault="006F7DC7" w:rsidP="00FB6B24">
      <w:pPr>
        <w:pStyle w:val="ListParagraph"/>
        <w:numPr>
          <w:ilvl w:val="0"/>
          <w:numId w:val="2"/>
        </w:numPr>
        <w:tabs>
          <w:tab w:val="left" w:pos="5780"/>
        </w:tabs>
        <w:spacing w:line="240" w:lineRule="auto"/>
        <w:ind w:left="450"/>
        <w:jc w:val="both"/>
        <w:rPr>
          <w:rFonts w:ascii="Gill Sans MT" w:eastAsiaTheme="majorEastAsia" w:hAnsi="Gill Sans MT" w:cstheme="majorBidi"/>
          <w:sz w:val="24"/>
          <w:szCs w:val="24"/>
        </w:rPr>
      </w:pPr>
      <w:r w:rsidRPr="00FB6B24">
        <w:rPr>
          <w:rFonts w:ascii="Gill Sans MT" w:eastAsiaTheme="majorEastAsia" w:hAnsi="Gill Sans MT" w:cstheme="majorBidi"/>
          <w:sz w:val="24"/>
          <w:szCs w:val="24"/>
        </w:rPr>
        <w:t>Ensure patients are not sent to collections for more than their copays or deductibles. Hospitals are prohibited from balance billing and sending surprise medical bills to consumers as a condition of their state hospital licensure;</w:t>
      </w:r>
    </w:p>
    <w:p w14:paraId="51C7A625" w14:textId="77777777" w:rsidR="006F7DC7" w:rsidRPr="00FB6B24" w:rsidRDefault="006F7DC7" w:rsidP="00FB6B24">
      <w:pPr>
        <w:pStyle w:val="ListParagraph"/>
        <w:numPr>
          <w:ilvl w:val="0"/>
          <w:numId w:val="2"/>
        </w:numPr>
        <w:tabs>
          <w:tab w:val="left" w:pos="5780"/>
        </w:tabs>
        <w:spacing w:line="240" w:lineRule="auto"/>
        <w:ind w:left="450"/>
        <w:jc w:val="both"/>
        <w:rPr>
          <w:rFonts w:ascii="Gill Sans MT" w:eastAsiaTheme="majorEastAsia" w:hAnsi="Gill Sans MT" w:cstheme="majorBidi"/>
          <w:sz w:val="24"/>
          <w:szCs w:val="24"/>
        </w:rPr>
      </w:pPr>
      <w:r w:rsidRPr="00FB6B24">
        <w:rPr>
          <w:rFonts w:ascii="Gill Sans MT" w:eastAsiaTheme="majorEastAsia" w:hAnsi="Gill Sans MT" w:cstheme="majorBidi"/>
          <w:sz w:val="24"/>
          <w:szCs w:val="24"/>
        </w:rPr>
        <w:t xml:space="preserve">Protect consumers with both state-regulated health coverage and federally-regulated coverage such as self-insured plans provided by employers and union trust funds; </w:t>
      </w:r>
    </w:p>
    <w:p w14:paraId="733DC4D0" w14:textId="77777777" w:rsidR="006F7DC7" w:rsidRPr="00FB6B24" w:rsidRDefault="006F7DC7" w:rsidP="00FB6B24">
      <w:pPr>
        <w:pStyle w:val="ListParagraph"/>
        <w:numPr>
          <w:ilvl w:val="0"/>
          <w:numId w:val="2"/>
        </w:numPr>
        <w:tabs>
          <w:tab w:val="left" w:pos="5780"/>
        </w:tabs>
        <w:spacing w:line="240" w:lineRule="auto"/>
        <w:ind w:left="450"/>
        <w:jc w:val="both"/>
        <w:rPr>
          <w:rFonts w:ascii="Gill Sans MT" w:eastAsiaTheme="majorEastAsia" w:hAnsi="Gill Sans MT" w:cstheme="majorBidi"/>
          <w:sz w:val="24"/>
          <w:szCs w:val="24"/>
        </w:rPr>
      </w:pPr>
      <w:r w:rsidRPr="00FB6B24">
        <w:rPr>
          <w:rFonts w:ascii="Gill Sans MT" w:eastAsiaTheme="majorEastAsia" w:hAnsi="Gill Sans MT" w:cstheme="majorBidi"/>
          <w:sz w:val="24"/>
          <w:szCs w:val="24"/>
        </w:rPr>
        <w:t>Apply to hospitals, as well as health plans and health insurers;</w:t>
      </w:r>
    </w:p>
    <w:p w14:paraId="23B44491" w14:textId="53B7F487" w:rsidR="006F7DC7" w:rsidRPr="00FB6B24" w:rsidRDefault="006F7DC7" w:rsidP="00FB6B24">
      <w:pPr>
        <w:pStyle w:val="ListParagraph"/>
        <w:numPr>
          <w:ilvl w:val="0"/>
          <w:numId w:val="2"/>
        </w:numPr>
        <w:tabs>
          <w:tab w:val="left" w:pos="5780"/>
        </w:tabs>
        <w:spacing w:line="240" w:lineRule="auto"/>
        <w:ind w:left="450"/>
        <w:jc w:val="both"/>
        <w:rPr>
          <w:rFonts w:ascii="Gill Sans MT" w:eastAsiaTheme="majorEastAsia" w:hAnsi="Gill Sans MT" w:cstheme="majorBidi"/>
          <w:sz w:val="24"/>
          <w:szCs w:val="24"/>
        </w:rPr>
      </w:pPr>
      <w:r w:rsidRPr="00FB6B24">
        <w:rPr>
          <w:rFonts w:ascii="Gill Sans MT" w:eastAsiaTheme="majorEastAsia" w:hAnsi="Gill Sans MT" w:cstheme="majorBidi"/>
          <w:sz w:val="24"/>
          <w:szCs w:val="24"/>
        </w:rPr>
        <w:t xml:space="preserve">Ensure a patient’s health coverage is not used as leverage for higher payment to hospitals by setting payment </w:t>
      </w:r>
      <w:r w:rsidR="005B5AFE">
        <w:rPr>
          <w:rFonts w:ascii="Gill Sans MT" w:eastAsiaTheme="majorEastAsia" w:hAnsi="Gill Sans MT" w:cstheme="majorBidi"/>
          <w:sz w:val="24"/>
          <w:szCs w:val="24"/>
        </w:rPr>
        <w:t xml:space="preserve">rate </w:t>
      </w:r>
      <w:r w:rsidRPr="00FB6B24">
        <w:rPr>
          <w:rFonts w:ascii="Gill Sans MT" w:eastAsiaTheme="majorEastAsia" w:hAnsi="Gill Sans MT" w:cstheme="majorBidi"/>
          <w:sz w:val="24"/>
          <w:szCs w:val="24"/>
        </w:rPr>
        <w:t xml:space="preserve">to </w:t>
      </w:r>
      <w:r w:rsidR="00FB6B24" w:rsidRPr="00FB6B24">
        <w:rPr>
          <w:rFonts w:ascii="Gill Sans MT" w:eastAsiaTheme="majorEastAsia" w:hAnsi="Gill Sans MT" w:cstheme="majorBidi"/>
          <w:sz w:val="24"/>
          <w:szCs w:val="24"/>
        </w:rPr>
        <w:t xml:space="preserve">either </w:t>
      </w:r>
      <w:r w:rsidR="00FB6B24" w:rsidRPr="00FB6B24">
        <w:rPr>
          <w:rFonts w:ascii="Gill Sans MT" w:eastAsiaTheme="majorEastAsia" w:hAnsi="Gill Sans MT" w:cstheme="majorBidi"/>
          <w:b/>
          <w:i/>
          <w:sz w:val="24"/>
          <w:szCs w:val="24"/>
        </w:rPr>
        <w:t xml:space="preserve">the “reasonable and customary value,” </w:t>
      </w:r>
      <w:r w:rsidR="00331129">
        <w:rPr>
          <w:rFonts w:ascii="Gill Sans MT" w:eastAsiaTheme="majorEastAsia" w:hAnsi="Gill Sans MT" w:cstheme="majorBidi"/>
          <w:i/>
          <w:sz w:val="24"/>
          <w:szCs w:val="24"/>
        </w:rPr>
        <w:t>h</w:t>
      </w:r>
      <w:r w:rsidR="001874BA">
        <w:rPr>
          <w:rFonts w:ascii="Gill Sans MT" w:eastAsiaTheme="majorEastAsia" w:hAnsi="Gill Sans MT" w:cstheme="majorBidi"/>
          <w:b/>
          <w:i/>
          <w:sz w:val="24"/>
          <w:szCs w:val="24"/>
        </w:rPr>
        <w:t xml:space="preserve"> </w:t>
      </w:r>
      <w:r w:rsidR="00FB6B24" w:rsidRPr="00FB6B24">
        <w:rPr>
          <w:rFonts w:ascii="Gill Sans MT" w:eastAsiaTheme="majorEastAsia" w:hAnsi="Gill Sans MT" w:cstheme="majorBidi"/>
          <w:b/>
          <w:i/>
          <w:sz w:val="24"/>
          <w:szCs w:val="24"/>
        </w:rPr>
        <w:t xml:space="preserve">what hospitals </w:t>
      </w:r>
      <w:r w:rsidR="001874BA">
        <w:rPr>
          <w:rFonts w:ascii="Gill Sans MT" w:eastAsiaTheme="majorEastAsia" w:hAnsi="Gill Sans MT" w:cstheme="majorBidi"/>
          <w:b/>
          <w:i/>
          <w:sz w:val="24"/>
          <w:szCs w:val="24"/>
        </w:rPr>
        <w:t xml:space="preserve">charge and </w:t>
      </w:r>
      <w:r w:rsidR="00FB6B24" w:rsidRPr="00FB6B24">
        <w:rPr>
          <w:rFonts w:ascii="Gill Sans MT" w:eastAsiaTheme="majorEastAsia" w:hAnsi="Gill Sans MT" w:cstheme="majorBidi"/>
          <w:b/>
          <w:i/>
          <w:sz w:val="24"/>
          <w:szCs w:val="24"/>
        </w:rPr>
        <w:t xml:space="preserve">get paid by public and private payers, OR </w:t>
      </w:r>
      <w:r w:rsidRPr="00FB6B24">
        <w:rPr>
          <w:rFonts w:ascii="Gill Sans MT" w:eastAsiaTheme="majorEastAsia" w:hAnsi="Gill Sans MT" w:cstheme="majorBidi"/>
          <w:b/>
          <w:i/>
          <w:sz w:val="24"/>
          <w:szCs w:val="24"/>
        </w:rPr>
        <w:t>the average contracted rate paid by the specific health insurer for the same or similar services in the same geographic area</w:t>
      </w:r>
      <w:r w:rsidRPr="00FB6B24">
        <w:rPr>
          <w:rFonts w:ascii="Gill Sans MT" w:eastAsiaTheme="majorEastAsia" w:hAnsi="Gill Sans MT" w:cstheme="majorBidi"/>
          <w:sz w:val="24"/>
          <w:szCs w:val="24"/>
        </w:rPr>
        <w:t>; and</w:t>
      </w:r>
    </w:p>
    <w:p w14:paraId="55B742D2" w14:textId="77777777" w:rsidR="006F7DC7" w:rsidRPr="00FB6B24" w:rsidRDefault="006F7DC7" w:rsidP="00FB6B24">
      <w:pPr>
        <w:pStyle w:val="ListParagraph"/>
        <w:numPr>
          <w:ilvl w:val="0"/>
          <w:numId w:val="2"/>
        </w:numPr>
        <w:tabs>
          <w:tab w:val="left" w:pos="5780"/>
        </w:tabs>
        <w:spacing w:line="240" w:lineRule="auto"/>
        <w:ind w:left="450"/>
        <w:jc w:val="both"/>
        <w:rPr>
          <w:rFonts w:ascii="Gill Sans MT" w:eastAsiaTheme="majorEastAsia" w:hAnsi="Gill Sans MT" w:cstheme="majorBidi"/>
          <w:sz w:val="24"/>
          <w:szCs w:val="24"/>
        </w:rPr>
      </w:pPr>
      <w:r w:rsidRPr="00FB6B24">
        <w:rPr>
          <w:rFonts w:ascii="Gill Sans MT" w:eastAsiaTheme="majorEastAsia" w:hAnsi="Gill Sans MT" w:cstheme="majorBidi"/>
          <w:sz w:val="24"/>
          <w:szCs w:val="24"/>
        </w:rPr>
        <w:t>Permit hospitals to litigate contested rates with health plans and insurers if both parties cannot agree to a payment rate.</w:t>
      </w:r>
    </w:p>
    <w:p w14:paraId="728B4B73" w14:textId="77777777" w:rsidR="006F7DC7" w:rsidRPr="00FB6B24" w:rsidRDefault="006F7DC7" w:rsidP="006F7DC7">
      <w:pPr>
        <w:tabs>
          <w:tab w:val="left" w:pos="5780"/>
        </w:tabs>
        <w:jc w:val="both"/>
        <w:rPr>
          <w:rFonts w:ascii="Gill Sans MT" w:eastAsiaTheme="majorEastAsia" w:hAnsi="Gill Sans MT" w:cstheme="majorBidi"/>
        </w:rPr>
      </w:pPr>
      <w:r w:rsidRPr="00FB6B24">
        <w:rPr>
          <w:rFonts w:ascii="Gill Sans MT" w:eastAsia="Times New Roman" w:hAnsi="Gill Sans MT" w:cs="Open Sans"/>
          <w:color w:val="000000"/>
        </w:rPr>
        <w:lastRenderedPageBreak/>
        <w:t xml:space="preserve">The only thing you should be thinking about when you or a loved one are lying on a gurney in an emergency room is getting care and getting well—not getting a bill of thousands of dollars for that care. </w:t>
      </w:r>
      <w:r w:rsidRPr="00FB6B24">
        <w:rPr>
          <w:rFonts w:ascii="Gill Sans MT" w:eastAsiaTheme="majorEastAsia" w:hAnsi="Gill Sans MT" w:cstheme="majorBidi"/>
        </w:rPr>
        <w:t xml:space="preserve">No one should ever worry about whether their insurance is enough to cover the care they received in an emergency. </w:t>
      </w:r>
      <w:r w:rsidRPr="00FB6B24">
        <w:rPr>
          <w:rFonts w:ascii="Gill Sans MT" w:eastAsia="Times New Roman" w:hAnsi="Gill Sans MT" w:cs="Open Sans"/>
          <w:color w:val="000000"/>
        </w:rPr>
        <w:t>No consumer, especially one that is insured, should be at risk of being sent to collections or face financial ruin just because they did the right thing and went to an emergency room when they thought they were having an emergency.</w:t>
      </w:r>
    </w:p>
    <w:p w14:paraId="64DA80D2" w14:textId="77777777" w:rsidR="00A857B3" w:rsidRPr="00FB6B24" w:rsidRDefault="00A857B3" w:rsidP="006F7DC7">
      <w:pPr>
        <w:pStyle w:val="NoSpacing"/>
        <w:rPr>
          <w:rFonts w:ascii="Gill Sans MT" w:hAnsi="Gill Sans MT"/>
          <w:sz w:val="24"/>
          <w:szCs w:val="24"/>
        </w:rPr>
      </w:pPr>
    </w:p>
    <w:p w14:paraId="2D8CF6D8" w14:textId="77777777" w:rsidR="00A857B3" w:rsidRPr="00FB6B24" w:rsidRDefault="00A857B3" w:rsidP="006F7DC7">
      <w:pPr>
        <w:pStyle w:val="NoSpacing"/>
        <w:rPr>
          <w:rFonts w:ascii="Gill Sans MT" w:hAnsi="Gill Sans MT"/>
          <w:sz w:val="24"/>
          <w:szCs w:val="24"/>
        </w:rPr>
      </w:pPr>
      <w:r w:rsidRPr="00FB6B24">
        <w:rPr>
          <w:rFonts w:ascii="Gill Sans MT" w:hAnsi="Gill Sans MT"/>
          <w:b/>
          <w:sz w:val="24"/>
          <w:szCs w:val="24"/>
        </w:rPr>
        <w:t>For these reasons, we request your AYE vote</w:t>
      </w:r>
      <w:r w:rsidR="00CC21CD" w:rsidRPr="00FB6B24">
        <w:rPr>
          <w:rFonts w:ascii="Gill Sans MT" w:hAnsi="Gill Sans MT"/>
          <w:b/>
          <w:sz w:val="24"/>
          <w:szCs w:val="24"/>
        </w:rPr>
        <w:t xml:space="preserve"> on the Assembly Floor</w:t>
      </w:r>
      <w:r w:rsidRPr="00FB6B24">
        <w:rPr>
          <w:rFonts w:ascii="Gill Sans MT" w:hAnsi="Gill Sans MT"/>
          <w:b/>
          <w:sz w:val="24"/>
          <w:szCs w:val="24"/>
        </w:rPr>
        <w:t>.</w:t>
      </w:r>
    </w:p>
    <w:p w14:paraId="13E68E4B" w14:textId="77777777" w:rsidR="00F01230" w:rsidRPr="00F01230" w:rsidRDefault="00F01230" w:rsidP="006F7DC7">
      <w:pPr>
        <w:rPr>
          <w:sz w:val="22"/>
          <w:szCs w:val="22"/>
        </w:rPr>
      </w:pPr>
    </w:p>
    <w:sectPr w:rsidR="00F01230" w:rsidRPr="00F012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2B2928" w14:textId="77777777" w:rsidR="00F01230" w:rsidRDefault="00F01230" w:rsidP="00F01230">
      <w:r>
        <w:separator/>
      </w:r>
    </w:p>
  </w:endnote>
  <w:endnote w:type="continuationSeparator" w:id="0">
    <w:p w14:paraId="132F9C1E" w14:textId="77777777" w:rsidR="00F01230" w:rsidRDefault="00F01230" w:rsidP="00F01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 Sans">
    <w:altName w:val="Segoe UI"/>
    <w:charset w:val="B1"/>
    <w:family w:val="swiss"/>
    <w:pitch w:val="variable"/>
    <w:sig w:usb0="80000A67" w:usb1="00000000" w:usb2="00000000" w:usb3="00000000" w:csb0="000001F7"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ED9436" w14:textId="77777777" w:rsidR="00F01230" w:rsidRDefault="00F01230" w:rsidP="00F01230">
      <w:r>
        <w:separator/>
      </w:r>
    </w:p>
  </w:footnote>
  <w:footnote w:type="continuationSeparator" w:id="0">
    <w:p w14:paraId="15535D73" w14:textId="77777777" w:rsidR="00F01230" w:rsidRDefault="00F01230" w:rsidP="00F0123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C43DD"/>
    <w:multiLevelType w:val="hybridMultilevel"/>
    <w:tmpl w:val="7172A8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226CD2"/>
    <w:multiLevelType w:val="hybridMultilevel"/>
    <w:tmpl w:val="11AC72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230"/>
    <w:rsid w:val="001437E9"/>
    <w:rsid w:val="001874BA"/>
    <w:rsid w:val="00220091"/>
    <w:rsid w:val="002E7ADA"/>
    <w:rsid w:val="00304CDB"/>
    <w:rsid w:val="00327F1F"/>
    <w:rsid w:val="00331129"/>
    <w:rsid w:val="0046187B"/>
    <w:rsid w:val="00495FFE"/>
    <w:rsid w:val="005A10B8"/>
    <w:rsid w:val="005B5AFE"/>
    <w:rsid w:val="006F7DC7"/>
    <w:rsid w:val="00992BFE"/>
    <w:rsid w:val="00A857B3"/>
    <w:rsid w:val="00AD340E"/>
    <w:rsid w:val="00B11279"/>
    <w:rsid w:val="00CC21CD"/>
    <w:rsid w:val="00CD0A34"/>
    <w:rsid w:val="00CE3E04"/>
    <w:rsid w:val="00E61148"/>
    <w:rsid w:val="00EA3A84"/>
    <w:rsid w:val="00F01230"/>
    <w:rsid w:val="00F0726F"/>
    <w:rsid w:val="00F67843"/>
    <w:rsid w:val="00F92729"/>
    <w:rsid w:val="00FB6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3BCD2"/>
  <w15:chartTrackingRefBased/>
  <w15:docId w15:val="{8E4AB6CC-F922-462E-B91A-7FAB52545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1230"/>
    <w:pPr>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1230"/>
    <w:rPr>
      <w:color w:val="0000FF"/>
      <w:u w:val="single"/>
    </w:rPr>
  </w:style>
  <w:style w:type="paragraph" w:styleId="NormalWeb">
    <w:name w:val="Normal (Web)"/>
    <w:basedOn w:val="Normal"/>
    <w:uiPriority w:val="99"/>
    <w:unhideWhenUsed/>
    <w:rsid w:val="00F01230"/>
    <w:pPr>
      <w:spacing w:before="100" w:beforeAutospacing="1" w:after="100" w:afterAutospacing="1"/>
    </w:pPr>
    <w:rPr>
      <w:rFonts w:cs="Times New Roman"/>
    </w:rPr>
  </w:style>
  <w:style w:type="paragraph" w:styleId="EndnoteText">
    <w:name w:val="endnote text"/>
    <w:basedOn w:val="Normal"/>
    <w:link w:val="EndnoteTextChar"/>
    <w:uiPriority w:val="99"/>
    <w:unhideWhenUsed/>
    <w:rsid w:val="00F01230"/>
    <w:rPr>
      <w:rFonts w:asciiTheme="minorHAnsi" w:eastAsiaTheme="minorEastAsia" w:hAnsiTheme="minorHAnsi"/>
    </w:rPr>
  </w:style>
  <w:style w:type="character" w:customStyle="1" w:styleId="EndnoteTextChar">
    <w:name w:val="Endnote Text Char"/>
    <w:basedOn w:val="DefaultParagraphFont"/>
    <w:link w:val="EndnoteText"/>
    <w:uiPriority w:val="99"/>
    <w:rsid w:val="00F01230"/>
    <w:rPr>
      <w:rFonts w:eastAsiaTheme="minorEastAsia"/>
      <w:sz w:val="24"/>
      <w:szCs w:val="24"/>
    </w:rPr>
  </w:style>
  <w:style w:type="character" w:styleId="EndnoteReference">
    <w:name w:val="endnote reference"/>
    <w:basedOn w:val="DefaultParagraphFont"/>
    <w:uiPriority w:val="99"/>
    <w:unhideWhenUsed/>
    <w:rsid w:val="00F01230"/>
    <w:rPr>
      <w:vertAlign w:val="superscript"/>
    </w:rPr>
  </w:style>
  <w:style w:type="paragraph" w:styleId="FootnoteText">
    <w:name w:val="footnote text"/>
    <w:basedOn w:val="Normal"/>
    <w:link w:val="FootnoteTextChar"/>
    <w:uiPriority w:val="99"/>
    <w:unhideWhenUsed/>
    <w:rsid w:val="005A10B8"/>
    <w:rPr>
      <w:rFonts w:asciiTheme="minorHAnsi" w:eastAsiaTheme="minorEastAsia" w:hAnsiTheme="minorHAnsi"/>
    </w:rPr>
  </w:style>
  <w:style w:type="character" w:customStyle="1" w:styleId="FootnoteTextChar">
    <w:name w:val="Footnote Text Char"/>
    <w:basedOn w:val="DefaultParagraphFont"/>
    <w:link w:val="FootnoteText"/>
    <w:uiPriority w:val="99"/>
    <w:rsid w:val="005A10B8"/>
    <w:rPr>
      <w:rFonts w:eastAsiaTheme="minorEastAsia"/>
      <w:sz w:val="24"/>
      <w:szCs w:val="24"/>
    </w:rPr>
  </w:style>
  <w:style w:type="character" w:styleId="FootnoteReference">
    <w:name w:val="footnote reference"/>
    <w:basedOn w:val="DefaultParagraphFont"/>
    <w:uiPriority w:val="99"/>
    <w:unhideWhenUsed/>
    <w:rsid w:val="005A10B8"/>
    <w:rPr>
      <w:vertAlign w:val="superscript"/>
    </w:rPr>
  </w:style>
  <w:style w:type="paragraph" w:styleId="NoSpacing">
    <w:name w:val="No Spacing"/>
    <w:link w:val="NoSpacingChar"/>
    <w:uiPriority w:val="1"/>
    <w:qFormat/>
    <w:rsid w:val="00A857B3"/>
    <w:pPr>
      <w:spacing w:after="0" w:line="240" w:lineRule="auto"/>
    </w:pPr>
    <w:rPr>
      <w:rFonts w:eastAsiaTheme="minorEastAsia"/>
    </w:rPr>
  </w:style>
  <w:style w:type="character" w:customStyle="1" w:styleId="NoSpacingChar">
    <w:name w:val="No Spacing Char"/>
    <w:basedOn w:val="DefaultParagraphFont"/>
    <w:link w:val="NoSpacing"/>
    <w:uiPriority w:val="1"/>
    <w:rsid w:val="00A857B3"/>
    <w:rPr>
      <w:rFonts w:eastAsiaTheme="minorEastAsia"/>
    </w:rPr>
  </w:style>
  <w:style w:type="paragraph" w:styleId="ListParagraph">
    <w:name w:val="List Paragraph"/>
    <w:basedOn w:val="Normal"/>
    <w:uiPriority w:val="34"/>
    <w:qFormat/>
    <w:rsid w:val="00304CDB"/>
    <w:pPr>
      <w:spacing w:after="200" w:line="276" w:lineRule="auto"/>
      <w:ind w:left="720"/>
      <w:contextualSpacing/>
    </w:pPr>
    <w:rPr>
      <w:rFonts w:asciiTheme="minorHAnsi"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1943</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June Flores</dc:creator>
  <cp:keywords/>
  <dc:description/>
  <cp:lastModifiedBy>Rachel Linn-Gish</cp:lastModifiedBy>
  <cp:revision>2</cp:revision>
  <dcterms:created xsi:type="dcterms:W3CDTF">2019-05-21T17:05:00Z</dcterms:created>
  <dcterms:modified xsi:type="dcterms:W3CDTF">2019-05-21T17:05:00Z</dcterms:modified>
</cp:coreProperties>
</file>